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00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767FE" w:rsidTr="000424E5">
        <w:tc>
          <w:tcPr>
            <w:tcW w:w="3847" w:type="dxa"/>
            <w:shd w:val="clear" w:color="auto" w:fill="FF0000"/>
          </w:tcPr>
          <w:p w:rsidR="004767FE" w:rsidRDefault="00A914FF" w:rsidP="000424E5">
            <w:r>
              <w:t xml:space="preserve">Word Class: </w:t>
            </w:r>
            <w:r w:rsidR="003B00A3">
              <w:t>Nouns</w:t>
            </w:r>
          </w:p>
          <w:p w:rsidR="00EB26B2" w:rsidRDefault="00EB26B2" w:rsidP="000424E5"/>
        </w:tc>
        <w:tc>
          <w:tcPr>
            <w:tcW w:w="3847" w:type="dxa"/>
            <w:shd w:val="clear" w:color="auto" w:fill="FF0000"/>
          </w:tcPr>
          <w:p w:rsidR="004767FE" w:rsidRDefault="004767FE" w:rsidP="000424E5"/>
        </w:tc>
        <w:tc>
          <w:tcPr>
            <w:tcW w:w="3847" w:type="dxa"/>
            <w:shd w:val="clear" w:color="auto" w:fill="FF9900"/>
          </w:tcPr>
          <w:p w:rsidR="004767FE" w:rsidRDefault="00776678" w:rsidP="000424E5">
            <w:r>
              <w:t>Word Class:</w:t>
            </w:r>
          </w:p>
        </w:tc>
        <w:tc>
          <w:tcPr>
            <w:tcW w:w="3847" w:type="dxa"/>
            <w:shd w:val="clear" w:color="auto" w:fill="FF9900"/>
          </w:tcPr>
          <w:p w:rsidR="004767FE" w:rsidRDefault="004767FE" w:rsidP="000424E5"/>
        </w:tc>
      </w:tr>
      <w:tr w:rsidR="004767FE" w:rsidTr="000424E5">
        <w:tc>
          <w:tcPr>
            <w:tcW w:w="3847" w:type="dxa"/>
            <w:shd w:val="clear" w:color="auto" w:fill="FFCC99"/>
          </w:tcPr>
          <w:p w:rsidR="004767FE" w:rsidRDefault="003B00A3" w:rsidP="000424E5">
            <w:r>
              <w:t>Proper Nouns</w:t>
            </w:r>
            <w:r w:rsidR="007260A1">
              <w:t xml:space="preserve"> – names of a person, place or thing</w:t>
            </w:r>
          </w:p>
          <w:p w:rsidR="00541837" w:rsidRDefault="00541837" w:rsidP="000424E5">
            <w:r>
              <w:t>(always starts with a capital letter)</w:t>
            </w:r>
          </w:p>
        </w:tc>
        <w:tc>
          <w:tcPr>
            <w:tcW w:w="3847" w:type="dxa"/>
            <w:shd w:val="clear" w:color="auto" w:fill="FFCC99"/>
          </w:tcPr>
          <w:p w:rsidR="004767FE" w:rsidRDefault="009B7E59" w:rsidP="000424E5">
            <w:r>
              <w:t xml:space="preserve">e.g. John, </w:t>
            </w:r>
            <w:proofErr w:type="spellStart"/>
            <w:r>
              <w:t>Warsop</w:t>
            </w:r>
            <w:proofErr w:type="spellEnd"/>
            <w:r>
              <w:t>, September</w:t>
            </w:r>
          </w:p>
          <w:p w:rsidR="009B7E59" w:rsidRDefault="009B7E59" w:rsidP="000424E5">
            <w:r w:rsidRPr="009B7E59">
              <w:rPr>
                <w:u w:val="single"/>
              </w:rPr>
              <w:t>John</w:t>
            </w:r>
            <w:r>
              <w:t xml:space="preserve"> lives in </w:t>
            </w:r>
            <w:proofErr w:type="spellStart"/>
            <w:r w:rsidRPr="009B7E59">
              <w:rPr>
                <w:u w:val="single"/>
              </w:rPr>
              <w:t>Warsop</w:t>
            </w:r>
            <w:proofErr w:type="spellEnd"/>
            <w:r>
              <w:t>.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4767FE" w:rsidRDefault="00776678" w:rsidP="000424E5">
            <w:r>
              <w:t xml:space="preserve">Adjective </w:t>
            </w:r>
            <w:r w:rsidR="006A78C2">
              <w:t>– describes a noun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4767FE" w:rsidRDefault="006A78C2" w:rsidP="000424E5">
            <w:r>
              <w:t>e.g. blue, small, gentle</w:t>
            </w:r>
          </w:p>
          <w:p w:rsidR="006A78C2" w:rsidRDefault="006A78C2" w:rsidP="000424E5">
            <w:r>
              <w:t xml:space="preserve">The </w:t>
            </w:r>
            <w:r w:rsidRPr="006A78C2">
              <w:rPr>
                <w:u w:val="single"/>
              </w:rPr>
              <w:t>white</w:t>
            </w:r>
            <w:r>
              <w:t xml:space="preserve"> snow blanketed the floor.</w:t>
            </w:r>
          </w:p>
          <w:p w:rsidR="006A78C2" w:rsidRDefault="006A78C2" w:rsidP="000424E5"/>
        </w:tc>
      </w:tr>
      <w:tr w:rsidR="004767FE" w:rsidTr="000424E5">
        <w:tc>
          <w:tcPr>
            <w:tcW w:w="3847" w:type="dxa"/>
            <w:shd w:val="clear" w:color="auto" w:fill="FFCC99"/>
          </w:tcPr>
          <w:p w:rsidR="004767FE" w:rsidRDefault="003B00A3" w:rsidP="000424E5">
            <w:r>
              <w:t>Concrete Nouns</w:t>
            </w:r>
            <w:r w:rsidR="00541837">
              <w:t xml:space="preserve"> – things you experience through you five sense</w:t>
            </w:r>
          </w:p>
        </w:tc>
        <w:tc>
          <w:tcPr>
            <w:tcW w:w="3847" w:type="dxa"/>
            <w:shd w:val="clear" w:color="auto" w:fill="FFCC99"/>
          </w:tcPr>
          <w:p w:rsidR="004767FE" w:rsidRDefault="009B7E59" w:rsidP="000424E5">
            <w:r>
              <w:t>e.g. table, pencil, chocolate, music</w:t>
            </w:r>
          </w:p>
          <w:p w:rsidR="009B7E59" w:rsidRDefault="009B7E59" w:rsidP="000424E5">
            <w:r>
              <w:t xml:space="preserve">Put the </w:t>
            </w:r>
            <w:r w:rsidRPr="00B46E61">
              <w:rPr>
                <w:u w:val="single"/>
              </w:rPr>
              <w:t>pencil</w:t>
            </w:r>
            <w:r>
              <w:t xml:space="preserve"> down please. 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4767FE" w:rsidRDefault="00776678" w:rsidP="000424E5">
            <w:r>
              <w:t xml:space="preserve">Verb </w:t>
            </w:r>
            <w:r w:rsidR="006A78C2">
              <w:t>–</w:t>
            </w:r>
            <w:r>
              <w:t xml:space="preserve"> </w:t>
            </w:r>
            <w:r w:rsidR="006A78C2">
              <w:t>an action (doing), state (being) or occurrence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A654C0" w:rsidRDefault="00A654C0" w:rsidP="000424E5">
            <w:r>
              <w:t>e.g. run, was, work</w:t>
            </w:r>
          </w:p>
          <w:p w:rsidR="0007111F" w:rsidRDefault="0007111F" w:rsidP="000424E5">
            <w:r>
              <w:t xml:space="preserve">The sun </w:t>
            </w:r>
            <w:r w:rsidRPr="0007111F">
              <w:rPr>
                <w:u w:val="single"/>
              </w:rPr>
              <w:t>is</w:t>
            </w:r>
            <w:r>
              <w:t xml:space="preserve"> hot.</w:t>
            </w:r>
          </w:p>
          <w:p w:rsidR="0007111F" w:rsidRDefault="0007111F" w:rsidP="000424E5">
            <w:r>
              <w:t xml:space="preserve">I </w:t>
            </w:r>
            <w:r w:rsidRPr="0007111F">
              <w:rPr>
                <w:u w:val="single"/>
              </w:rPr>
              <w:t>play</w:t>
            </w:r>
            <w:r>
              <w:t xml:space="preserve"> in the garden. </w:t>
            </w:r>
          </w:p>
        </w:tc>
      </w:tr>
      <w:tr w:rsidR="004767FE" w:rsidTr="000424E5">
        <w:tc>
          <w:tcPr>
            <w:tcW w:w="3847" w:type="dxa"/>
            <w:shd w:val="clear" w:color="auto" w:fill="FFCC99"/>
          </w:tcPr>
          <w:p w:rsidR="00541837" w:rsidRDefault="003B00A3" w:rsidP="000424E5">
            <w:r>
              <w:t>Abstract Nouns</w:t>
            </w:r>
            <w:r w:rsidR="00541837">
              <w:t xml:space="preserve"> – ideas, emotions and concepts </w:t>
            </w:r>
          </w:p>
          <w:p w:rsidR="004767FE" w:rsidRDefault="00541837" w:rsidP="000424E5">
            <w:r>
              <w:t>(you can’t touch them)</w:t>
            </w:r>
          </w:p>
        </w:tc>
        <w:tc>
          <w:tcPr>
            <w:tcW w:w="3847" w:type="dxa"/>
            <w:shd w:val="clear" w:color="auto" w:fill="FFCC99"/>
          </w:tcPr>
          <w:p w:rsidR="004767FE" w:rsidRDefault="002F4E8D" w:rsidP="000424E5">
            <w:r>
              <w:t>e.g. truth, justice, anger, love</w:t>
            </w:r>
          </w:p>
          <w:p w:rsidR="002F4E8D" w:rsidRDefault="002F4E8D" w:rsidP="000424E5">
            <w:r>
              <w:t xml:space="preserve">I feel </w:t>
            </w:r>
            <w:r w:rsidRPr="00B46E61">
              <w:rPr>
                <w:u w:val="single"/>
              </w:rPr>
              <w:t>hope</w:t>
            </w:r>
            <w:r>
              <w:t xml:space="preserve"> for the future.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4767FE" w:rsidRDefault="00776678" w:rsidP="000424E5">
            <w:r>
              <w:t xml:space="preserve">Adverb </w:t>
            </w:r>
            <w:r w:rsidR="006A78C2">
              <w:t>–</w:t>
            </w:r>
            <w:r>
              <w:t xml:space="preserve"> </w:t>
            </w:r>
            <w:r w:rsidR="006A78C2">
              <w:t>modifies the meaning of a verb, noun or other adverb</w:t>
            </w:r>
          </w:p>
          <w:p w:rsidR="006A78C2" w:rsidRDefault="006A78C2" w:rsidP="000424E5">
            <w:r>
              <w:t>Expresses manner, place, time or degree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A654C0" w:rsidRDefault="0032762A" w:rsidP="000424E5">
            <w:r>
              <w:t>e.g. slowly, regularly, soon</w:t>
            </w:r>
          </w:p>
          <w:p w:rsidR="0032762A" w:rsidRDefault="0032762A" w:rsidP="000424E5">
            <w:r>
              <w:t xml:space="preserve">I liked the cuddly rabbit </w:t>
            </w:r>
            <w:r w:rsidRPr="0032762A">
              <w:rPr>
                <w:u w:val="single"/>
              </w:rPr>
              <w:t>best</w:t>
            </w:r>
            <w:r>
              <w:t>.</w:t>
            </w:r>
          </w:p>
        </w:tc>
      </w:tr>
      <w:tr w:rsidR="004767FE" w:rsidTr="000424E5">
        <w:tc>
          <w:tcPr>
            <w:tcW w:w="3847" w:type="dxa"/>
            <w:shd w:val="clear" w:color="auto" w:fill="FFCC99"/>
          </w:tcPr>
          <w:p w:rsidR="004767FE" w:rsidRDefault="003B00A3" w:rsidP="000424E5">
            <w:r>
              <w:t>Collective Nouns</w:t>
            </w:r>
            <w:r w:rsidR="00541837">
              <w:t xml:space="preserve"> – refers to a group of individuals</w:t>
            </w:r>
          </w:p>
        </w:tc>
        <w:tc>
          <w:tcPr>
            <w:tcW w:w="3847" w:type="dxa"/>
            <w:shd w:val="clear" w:color="auto" w:fill="FFCC99"/>
          </w:tcPr>
          <w:p w:rsidR="004767FE" w:rsidRDefault="002F4E8D" w:rsidP="000424E5">
            <w:r>
              <w:t>e.g. herd, class, pack</w:t>
            </w:r>
          </w:p>
          <w:p w:rsidR="002F4E8D" w:rsidRDefault="002F4E8D" w:rsidP="000424E5">
            <w:r>
              <w:t xml:space="preserve">A </w:t>
            </w:r>
            <w:r w:rsidRPr="007C294D">
              <w:rPr>
                <w:u w:val="single"/>
              </w:rPr>
              <w:t>gaggle</w:t>
            </w:r>
            <w:r>
              <w:t xml:space="preserve"> of geese were at the pond. 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4767FE" w:rsidRDefault="004767FE" w:rsidP="000424E5"/>
        </w:tc>
        <w:tc>
          <w:tcPr>
            <w:tcW w:w="3847" w:type="dxa"/>
            <w:shd w:val="clear" w:color="auto" w:fill="FFF2CC" w:themeFill="accent4" w:themeFillTint="33"/>
          </w:tcPr>
          <w:p w:rsidR="004767FE" w:rsidRDefault="004767FE" w:rsidP="000424E5"/>
        </w:tc>
      </w:tr>
      <w:tr w:rsidR="004767FE" w:rsidTr="000424E5">
        <w:tc>
          <w:tcPr>
            <w:tcW w:w="3847" w:type="dxa"/>
            <w:shd w:val="clear" w:color="auto" w:fill="FFCC99"/>
          </w:tcPr>
          <w:p w:rsidR="004767FE" w:rsidRDefault="003B00A3" w:rsidP="000424E5">
            <w:r>
              <w:t>Pronouns</w:t>
            </w:r>
            <w:r w:rsidR="00541837">
              <w:t xml:space="preserve"> – replaces a proper or common noun</w:t>
            </w:r>
          </w:p>
        </w:tc>
        <w:tc>
          <w:tcPr>
            <w:tcW w:w="3847" w:type="dxa"/>
            <w:shd w:val="clear" w:color="auto" w:fill="FFCC99"/>
          </w:tcPr>
          <w:p w:rsidR="004767FE" w:rsidRDefault="00590036" w:rsidP="000424E5">
            <w:r>
              <w:t>e.g. he, she, they, it</w:t>
            </w:r>
          </w:p>
          <w:p w:rsidR="00590036" w:rsidRDefault="00590036" w:rsidP="000424E5">
            <w:r>
              <w:t xml:space="preserve">John had a bookmark; </w:t>
            </w:r>
            <w:r w:rsidRPr="007C294D">
              <w:rPr>
                <w:u w:val="single"/>
              </w:rPr>
              <w:t>he</w:t>
            </w:r>
            <w:r>
              <w:t xml:space="preserve"> used </w:t>
            </w:r>
            <w:r w:rsidRPr="007C294D">
              <w:rPr>
                <w:u w:val="single"/>
              </w:rPr>
              <w:t>it</w:t>
            </w:r>
            <w:r>
              <w:t xml:space="preserve"> in his book. </w:t>
            </w:r>
          </w:p>
        </w:tc>
        <w:tc>
          <w:tcPr>
            <w:tcW w:w="3847" w:type="dxa"/>
            <w:shd w:val="clear" w:color="auto" w:fill="FFF2CC" w:themeFill="accent4" w:themeFillTint="33"/>
          </w:tcPr>
          <w:p w:rsidR="004767FE" w:rsidRDefault="004767FE" w:rsidP="000424E5"/>
        </w:tc>
        <w:tc>
          <w:tcPr>
            <w:tcW w:w="3847" w:type="dxa"/>
            <w:shd w:val="clear" w:color="auto" w:fill="FFF2CC" w:themeFill="accent4" w:themeFillTint="33"/>
          </w:tcPr>
          <w:p w:rsidR="004767FE" w:rsidRDefault="004767FE" w:rsidP="000424E5"/>
        </w:tc>
      </w:tr>
      <w:tr w:rsidR="004767FE" w:rsidTr="000424E5">
        <w:tc>
          <w:tcPr>
            <w:tcW w:w="3847" w:type="dxa"/>
            <w:shd w:val="clear" w:color="auto" w:fill="2E74B5" w:themeFill="accent1" w:themeFillShade="BF"/>
          </w:tcPr>
          <w:p w:rsidR="004767FE" w:rsidRDefault="00A914FF" w:rsidP="000424E5">
            <w:r>
              <w:t>Word Class: Determiners</w:t>
            </w:r>
          </w:p>
          <w:p w:rsidR="00EB26B2" w:rsidRDefault="00EB26B2" w:rsidP="000424E5"/>
        </w:tc>
        <w:tc>
          <w:tcPr>
            <w:tcW w:w="3847" w:type="dxa"/>
            <w:shd w:val="clear" w:color="auto" w:fill="2E74B5" w:themeFill="accent1" w:themeFillShade="BF"/>
          </w:tcPr>
          <w:p w:rsidR="004767FE" w:rsidRDefault="004767FE" w:rsidP="000424E5"/>
        </w:tc>
        <w:tc>
          <w:tcPr>
            <w:tcW w:w="3847" w:type="dxa"/>
            <w:shd w:val="clear" w:color="auto" w:fill="CC00CC"/>
          </w:tcPr>
          <w:p w:rsidR="004767FE" w:rsidRDefault="007B42FE" w:rsidP="000424E5">
            <w:r>
              <w:t>Word Class:</w:t>
            </w:r>
          </w:p>
        </w:tc>
        <w:tc>
          <w:tcPr>
            <w:tcW w:w="3847" w:type="dxa"/>
            <w:shd w:val="clear" w:color="auto" w:fill="CC00CC"/>
          </w:tcPr>
          <w:p w:rsidR="004767FE" w:rsidRDefault="004767FE" w:rsidP="000424E5"/>
        </w:tc>
      </w:tr>
      <w:tr w:rsidR="004767FE" w:rsidTr="000424E5">
        <w:trPr>
          <w:trHeight w:val="70"/>
        </w:trPr>
        <w:tc>
          <w:tcPr>
            <w:tcW w:w="3847" w:type="dxa"/>
            <w:shd w:val="clear" w:color="auto" w:fill="BDD6EE" w:themeFill="accent1" w:themeFillTint="66"/>
          </w:tcPr>
          <w:p w:rsidR="004767FE" w:rsidRDefault="00CC612A" w:rsidP="000424E5">
            <w:r>
              <w:t>Article – tells us the definite or indefinite</w:t>
            </w:r>
          </w:p>
        </w:tc>
        <w:tc>
          <w:tcPr>
            <w:tcW w:w="3847" w:type="dxa"/>
            <w:shd w:val="clear" w:color="auto" w:fill="BDD6EE" w:themeFill="accent1" w:themeFillTint="66"/>
          </w:tcPr>
          <w:p w:rsidR="004767FE" w:rsidRDefault="00B46E61" w:rsidP="000424E5">
            <w:r>
              <w:t>e.g. a/an, the</w:t>
            </w:r>
          </w:p>
          <w:p w:rsidR="00B46E61" w:rsidRDefault="00B46E61" w:rsidP="000424E5">
            <w:r w:rsidRPr="007C294D">
              <w:rPr>
                <w:u w:val="single"/>
              </w:rPr>
              <w:t>The</w:t>
            </w:r>
            <w:r>
              <w:t xml:space="preserve"> tree is beautiful in autumn. </w:t>
            </w:r>
          </w:p>
        </w:tc>
        <w:tc>
          <w:tcPr>
            <w:tcW w:w="3847" w:type="dxa"/>
            <w:shd w:val="clear" w:color="auto" w:fill="FFCCFF"/>
          </w:tcPr>
          <w:p w:rsidR="004767FE" w:rsidRDefault="007B42FE" w:rsidP="000424E5">
            <w:r>
              <w:t xml:space="preserve">Prepositions </w:t>
            </w:r>
            <w:r w:rsidR="00066C1F">
              <w:t>–</w:t>
            </w:r>
            <w:r>
              <w:t xml:space="preserve"> </w:t>
            </w:r>
            <w:r w:rsidR="00066C1F">
              <w:t xml:space="preserve">show the relationship between the noun or pronoun and other words in a sentence. They descried, for example, the position of something, the time when something happens, or the way in which something is done. </w:t>
            </w:r>
          </w:p>
        </w:tc>
        <w:tc>
          <w:tcPr>
            <w:tcW w:w="3847" w:type="dxa"/>
            <w:shd w:val="clear" w:color="auto" w:fill="FFCCFF"/>
          </w:tcPr>
          <w:p w:rsidR="004767FE" w:rsidRDefault="00066C1F" w:rsidP="000424E5">
            <w:r>
              <w:t>e.g. after, in, with</w:t>
            </w:r>
          </w:p>
          <w:p w:rsidR="00066C1F" w:rsidRDefault="00066C1F" w:rsidP="000424E5">
            <w:r>
              <w:t xml:space="preserve">He moved </w:t>
            </w:r>
            <w:r w:rsidRPr="007D6ACD">
              <w:t xml:space="preserve">here </w:t>
            </w:r>
            <w:r w:rsidRPr="007D6ACD">
              <w:rPr>
                <w:u w:val="single"/>
              </w:rPr>
              <w:t>after</w:t>
            </w:r>
            <w:r>
              <w:t xml:space="preserve"> the war.</w:t>
            </w:r>
          </w:p>
        </w:tc>
      </w:tr>
      <w:tr w:rsidR="004767FE" w:rsidTr="000424E5">
        <w:trPr>
          <w:trHeight w:val="70"/>
        </w:trPr>
        <w:tc>
          <w:tcPr>
            <w:tcW w:w="3847" w:type="dxa"/>
            <w:shd w:val="clear" w:color="auto" w:fill="BDD6EE" w:themeFill="accent1" w:themeFillTint="66"/>
          </w:tcPr>
          <w:p w:rsidR="004767FE" w:rsidRDefault="00CC612A" w:rsidP="000424E5">
            <w:r>
              <w:t>Quantifier – indicates quantity</w:t>
            </w:r>
          </w:p>
        </w:tc>
        <w:tc>
          <w:tcPr>
            <w:tcW w:w="3847" w:type="dxa"/>
            <w:shd w:val="clear" w:color="auto" w:fill="BDD6EE" w:themeFill="accent1" w:themeFillTint="66"/>
          </w:tcPr>
          <w:p w:rsidR="004767FE" w:rsidRDefault="00B46E61" w:rsidP="000424E5">
            <w:r>
              <w:t>e.g. few, many, some, two</w:t>
            </w:r>
          </w:p>
          <w:p w:rsidR="00B46E61" w:rsidRDefault="00B46E61" w:rsidP="000424E5">
            <w:r w:rsidRPr="00B46E61">
              <w:rPr>
                <w:u w:val="single"/>
              </w:rPr>
              <w:t>Lots</w:t>
            </w:r>
            <w:r>
              <w:t xml:space="preserve"> of fun was had at the party.</w:t>
            </w:r>
          </w:p>
        </w:tc>
        <w:tc>
          <w:tcPr>
            <w:tcW w:w="3847" w:type="dxa"/>
            <w:shd w:val="clear" w:color="auto" w:fill="FFCCFF"/>
          </w:tcPr>
          <w:p w:rsidR="004767FE" w:rsidRDefault="00CF592C" w:rsidP="00CF592C">
            <w:r>
              <w:t>Co-ordinating conjunction –</w:t>
            </w:r>
            <w:r w:rsidR="00850174">
              <w:t xml:space="preserve"> </w:t>
            </w:r>
            <w:r>
              <w:t>a conjunction place between words, phrases, clauses, or sentences of equal importance (</w:t>
            </w:r>
            <w:r w:rsidR="0041134A">
              <w:t>main clause).</w:t>
            </w:r>
          </w:p>
        </w:tc>
        <w:tc>
          <w:tcPr>
            <w:tcW w:w="3847" w:type="dxa"/>
            <w:shd w:val="clear" w:color="auto" w:fill="FFCCFF"/>
          </w:tcPr>
          <w:p w:rsidR="004767FE" w:rsidRDefault="007D6ACD" w:rsidP="000424E5">
            <w:r>
              <w:t>e.g. for, and, nor, but, or, yet, so</w:t>
            </w:r>
          </w:p>
          <w:p w:rsidR="007D6ACD" w:rsidRDefault="007D6ACD" w:rsidP="000424E5">
            <w:r>
              <w:t xml:space="preserve">I like chocolate, </w:t>
            </w:r>
            <w:r w:rsidRPr="007D6ACD">
              <w:rPr>
                <w:u w:val="single"/>
              </w:rPr>
              <w:t>but</w:t>
            </w:r>
            <w:r>
              <w:t xml:space="preserve"> I don’t like sweets. </w:t>
            </w:r>
          </w:p>
        </w:tc>
      </w:tr>
      <w:tr w:rsidR="004767FE" w:rsidTr="000424E5">
        <w:trPr>
          <w:trHeight w:val="70"/>
        </w:trPr>
        <w:tc>
          <w:tcPr>
            <w:tcW w:w="3847" w:type="dxa"/>
            <w:shd w:val="clear" w:color="auto" w:fill="BDD6EE" w:themeFill="accent1" w:themeFillTint="66"/>
          </w:tcPr>
          <w:p w:rsidR="004767FE" w:rsidRDefault="00363080" w:rsidP="000424E5">
            <w:r>
              <w:t>Possessive</w:t>
            </w:r>
            <w:r w:rsidR="00CC612A">
              <w:t xml:space="preserve"> – indicates who it belongs to</w:t>
            </w:r>
          </w:p>
        </w:tc>
        <w:tc>
          <w:tcPr>
            <w:tcW w:w="3847" w:type="dxa"/>
            <w:shd w:val="clear" w:color="auto" w:fill="BDD6EE" w:themeFill="accent1" w:themeFillTint="66"/>
          </w:tcPr>
          <w:p w:rsidR="007C294D" w:rsidRDefault="00EB26B2" w:rsidP="000424E5">
            <w:r>
              <w:t>e.g. mine, its, his</w:t>
            </w:r>
          </w:p>
          <w:p w:rsidR="00EB26B2" w:rsidRDefault="00EB26B2" w:rsidP="000424E5">
            <w:r>
              <w:t xml:space="preserve">That is </w:t>
            </w:r>
            <w:r w:rsidRPr="00EB26B2">
              <w:rPr>
                <w:u w:val="single"/>
              </w:rPr>
              <w:t>her</w:t>
            </w:r>
            <w:r>
              <w:t xml:space="preserve"> coat.</w:t>
            </w:r>
          </w:p>
        </w:tc>
        <w:tc>
          <w:tcPr>
            <w:tcW w:w="3847" w:type="dxa"/>
            <w:shd w:val="clear" w:color="auto" w:fill="FFCCFF"/>
          </w:tcPr>
          <w:p w:rsidR="004767FE" w:rsidRDefault="00CF592C" w:rsidP="000424E5">
            <w:r>
              <w:t xml:space="preserve">Subordinating conjunction – a conjunction that introduces a subordinate clause. </w:t>
            </w:r>
          </w:p>
        </w:tc>
        <w:tc>
          <w:tcPr>
            <w:tcW w:w="3847" w:type="dxa"/>
            <w:shd w:val="clear" w:color="auto" w:fill="FFCCFF"/>
          </w:tcPr>
          <w:p w:rsidR="004767FE" w:rsidRDefault="007D6ACD" w:rsidP="000424E5">
            <w:r>
              <w:t>e.g. while, since, although</w:t>
            </w:r>
          </w:p>
          <w:p w:rsidR="007D6ACD" w:rsidRDefault="00656C12" w:rsidP="000424E5">
            <w:r>
              <w:t xml:space="preserve">I went to bed early </w:t>
            </w:r>
            <w:r w:rsidRPr="00133984">
              <w:rPr>
                <w:u w:val="single"/>
              </w:rPr>
              <w:t>because</w:t>
            </w:r>
            <w:r>
              <w:t xml:space="preserve"> I was tired.</w:t>
            </w:r>
          </w:p>
        </w:tc>
      </w:tr>
      <w:tr w:rsidR="004767FE" w:rsidTr="000424E5">
        <w:trPr>
          <w:trHeight w:val="70"/>
        </w:trPr>
        <w:tc>
          <w:tcPr>
            <w:tcW w:w="3847" w:type="dxa"/>
            <w:shd w:val="clear" w:color="auto" w:fill="BDD6EE" w:themeFill="accent1" w:themeFillTint="66"/>
          </w:tcPr>
          <w:p w:rsidR="004767FE" w:rsidRDefault="00363080" w:rsidP="000424E5">
            <w:r>
              <w:t>Demonstrative</w:t>
            </w:r>
            <w:bookmarkStart w:id="0" w:name="_GoBack"/>
            <w:bookmarkEnd w:id="0"/>
            <w:r w:rsidR="00CC612A">
              <w:t xml:space="preserve"> – points to something specific</w:t>
            </w:r>
          </w:p>
        </w:tc>
        <w:tc>
          <w:tcPr>
            <w:tcW w:w="3847" w:type="dxa"/>
            <w:shd w:val="clear" w:color="auto" w:fill="BDD6EE" w:themeFill="accent1" w:themeFillTint="66"/>
          </w:tcPr>
          <w:p w:rsidR="00EB26B2" w:rsidRDefault="00EB26B2" w:rsidP="000424E5">
            <w:r>
              <w:t>e.g. this, that, those</w:t>
            </w:r>
          </w:p>
          <w:p w:rsidR="004767FE" w:rsidRDefault="00EB26B2" w:rsidP="000424E5">
            <w:r w:rsidRPr="007C294D">
              <w:rPr>
                <w:u w:val="single"/>
              </w:rPr>
              <w:t>These</w:t>
            </w:r>
            <w:r>
              <w:t xml:space="preserve"> computers are for sale.</w:t>
            </w:r>
          </w:p>
        </w:tc>
        <w:tc>
          <w:tcPr>
            <w:tcW w:w="3847" w:type="dxa"/>
            <w:shd w:val="clear" w:color="auto" w:fill="FFCCFF"/>
          </w:tcPr>
          <w:p w:rsidR="004767FE" w:rsidRDefault="004767FE" w:rsidP="000424E5"/>
        </w:tc>
        <w:tc>
          <w:tcPr>
            <w:tcW w:w="3847" w:type="dxa"/>
            <w:shd w:val="clear" w:color="auto" w:fill="FFCCFF"/>
          </w:tcPr>
          <w:p w:rsidR="004767FE" w:rsidRDefault="004767FE" w:rsidP="000424E5"/>
        </w:tc>
      </w:tr>
    </w:tbl>
    <w:p w:rsidR="000424E5" w:rsidRDefault="008B66E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80A212" wp14:editId="4CD669D3">
            <wp:simplePos x="0" y="0"/>
            <wp:positionH relativeFrom="margin">
              <wp:posOffset>9448800</wp:posOffset>
            </wp:positionH>
            <wp:positionV relativeFrom="paragraph">
              <wp:posOffset>-304800</wp:posOffset>
            </wp:positionV>
            <wp:extent cx="676275" cy="676275"/>
            <wp:effectExtent l="0" t="0" r="0" b="9525"/>
            <wp:wrapNone/>
            <wp:docPr id="1" name="Picture 1" descr="https://birklandsschool.co.uk/img/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rklandsschool.co.uk/img/header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4E5">
        <w:t>Birklands Primary School – Knowledge Organiser: Word Classes</w:t>
      </w:r>
    </w:p>
    <w:sectPr w:rsidR="000424E5" w:rsidSect="004767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FE"/>
    <w:rsid w:val="000424E5"/>
    <w:rsid w:val="00066C1F"/>
    <w:rsid w:val="0007111F"/>
    <w:rsid w:val="00133984"/>
    <w:rsid w:val="002F4E8D"/>
    <w:rsid w:val="0032762A"/>
    <w:rsid w:val="00363080"/>
    <w:rsid w:val="003B00A3"/>
    <w:rsid w:val="0041134A"/>
    <w:rsid w:val="00475DF1"/>
    <w:rsid w:val="004767FE"/>
    <w:rsid w:val="00541837"/>
    <w:rsid w:val="00590036"/>
    <w:rsid w:val="00656C12"/>
    <w:rsid w:val="006A78C2"/>
    <w:rsid w:val="007260A1"/>
    <w:rsid w:val="00776678"/>
    <w:rsid w:val="007B42FE"/>
    <w:rsid w:val="007C294D"/>
    <w:rsid w:val="007D6ACD"/>
    <w:rsid w:val="00850174"/>
    <w:rsid w:val="008B66EE"/>
    <w:rsid w:val="009B7E59"/>
    <w:rsid w:val="00A654C0"/>
    <w:rsid w:val="00A914FF"/>
    <w:rsid w:val="00B46E61"/>
    <w:rsid w:val="00CC612A"/>
    <w:rsid w:val="00CF592C"/>
    <w:rsid w:val="00D90760"/>
    <w:rsid w:val="00D93DB2"/>
    <w:rsid w:val="00E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9CA9"/>
  <w15:chartTrackingRefBased/>
  <w15:docId w15:val="{857DBB8A-5979-4680-AADB-3AD22061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28</cp:revision>
  <dcterms:created xsi:type="dcterms:W3CDTF">2020-06-08T11:27:00Z</dcterms:created>
  <dcterms:modified xsi:type="dcterms:W3CDTF">2020-07-10T13:52:00Z</dcterms:modified>
</cp:coreProperties>
</file>